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美国波士顿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大学本科访学和研究生实习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选拔通知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秋</w:t>
      </w:r>
      <w:r>
        <w:rPr>
          <w:rFonts w:ascii="Calibri" w:hAnsi="Calibri" w:cs="Calibri"/>
          <w:kern w:val="0"/>
          <w:szCs w:val="21"/>
        </w:rPr>
        <w:t>季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各学院：</w:t>
      </w:r>
    </w:p>
    <w:p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依据我校发展国际化教育的方针和校际合作协议，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>
        <w:rPr>
          <w:rFonts w:ascii="Calibri" w:hAnsi="Calibri" w:cs="Calibri"/>
          <w:kern w:val="0"/>
          <w:szCs w:val="21"/>
        </w:rPr>
        <w:t>201</w:t>
      </w:r>
      <w:r>
        <w:rPr>
          <w:rFonts w:hint="eastAsia" w:ascii="Calibri" w:hAnsi="Calibri" w:cs="Calibri"/>
          <w:kern w:val="0"/>
          <w:szCs w:val="21"/>
        </w:rPr>
        <w:t>8</w:t>
      </w:r>
      <w:r>
        <w:rPr>
          <w:rFonts w:ascii="Calibri" w:hAnsi="Calibri" w:cs="Calibri"/>
          <w:kern w:val="0"/>
          <w:szCs w:val="21"/>
        </w:rPr>
        <w:t>年</w:t>
      </w:r>
      <w:r>
        <w:rPr>
          <w:rFonts w:hint="eastAsia" w:ascii="Calibri" w:hAnsi="Calibri" w:cs="Calibri"/>
          <w:kern w:val="0"/>
          <w:szCs w:val="21"/>
        </w:rPr>
        <w:t>秋</w:t>
      </w:r>
      <w:r>
        <w:rPr>
          <w:rFonts w:ascii="Calibri" w:hAnsi="Calibri" w:cs="Calibri"/>
          <w:kern w:val="0"/>
          <w:szCs w:val="21"/>
        </w:rPr>
        <w:t>季</w:t>
      </w:r>
      <w:r>
        <w:rPr>
          <w:rFonts w:hint="eastAsia" w:ascii="Calibri" w:hAnsi="Calibri" w:cs="Calibri"/>
          <w:kern w:val="0"/>
          <w:szCs w:val="21"/>
        </w:rPr>
        <w:t>，</w:t>
      </w:r>
      <w:r>
        <w:rPr>
          <w:rFonts w:ascii="Calibri" w:hAnsi="Calibri" w:cs="Calibri"/>
          <w:szCs w:val="21"/>
        </w:rPr>
        <w:t>我校将选派</w:t>
      </w:r>
      <w:r>
        <w:rPr>
          <w:rFonts w:hint="eastAsia" w:ascii="Calibri" w:hAnsi="Calibri" w:cs="Calibri"/>
          <w:szCs w:val="21"/>
          <w:highlight w:val="none"/>
          <w:shd w:val="clear" w:color="auto"/>
          <w:lang w:val="en-US" w:eastAsia="zh-CN"/>
        </w:rPr>
        <w:t>指定名额</w:t>
      </w:r>
      <w:r>
        <w:rPr>
          <w:rFonts w:ascii="Calibri" w:hAnsi="Calibri" w:cs="Calibri"/>
          <w:szCs w:val="21"/>
        </w:rPr>
        <w:t>的优秀在校本科生、研究生</w:t>
      </w:r>
      <w:r>
        <w:rPr>
          <w:rFonts w:hint="eastAsia" w:ascii="Calibri" w:hAnsi="Calibri" w:cs="Calibri"/>
          <w:szCs w:val="21"/>
        </w:rPr>
        <w:t>前往比邻哈佛和MIT的美国第四大私立名校</w:t>
      </w:r>
      <w:r>
        <w:rPr>
          <w:rFonts w:hint="eastAsia" w:ascii="Calibri" w:hAnsi="Calibri" w:cs="Calibri"/>
          <w:b/>
          <w:szCs w:val="21"/>
        </w:rPr>
        <w:t>波士顿大学</w:t>
      </w:r>
      <w:r>
        <w:rPr>
          <w:rFonts w:hint="eastAsia" w:ascii="Calibri" w:hAnsi="Calibri" w:cs="Calibri"/>
          <w:b/>
          <w:bCs/>
          <w:kern w:val="0"/>
          <w:szCs w:val="21"/>
        </w:rPr>
        <w:t>（Boston University）</w:t>
      </w:r>
      <w:r>
        <w:rPr>
          <w:rFonts w:hint="eastAsia" w:ascii="Calibri" w:hAnsi="Calibri" w:cs="Calibri"/>
          <w:szCs w:val="21"/>
        </w:rPr>
        <w:t>，</w:t>
      </w:r>
      <w:bookmarkStart w:id="0" w:name="OLE_LINK18"/>
      <w:bookmarkStart w:id="1" w:name="OLE_LINK19"/>
      <w:r>
        <w:rPr>
          <w:rFonts w:hint="eastAsia" w:ascii="Calibri" w:hAnsi="Calibri" w:cs="Calibri"/>
          <w:szCs w:val="21"/>
        </w:rPr>
        <w:t>参加一学期的本科访学、或一学年的研究生商科实习</w:t>
      </w:r>
      <w:bookmarkEnd w:id="0"/>
      <w:bookmarkEnd w:id="1"/>
      <w:r>
        <w:rPr>
          <w:rFonts w:hint="eastAsia" w:ascii="Calibri" w:hAnsi="Calibri" w:cs="Calibri"/>
          <w:szCs w:val="21"/>
        </w:rPr>
        <w:t>项目。2018年秋季选拔专业学分课程和英语语言文化课程学生共</w:t>
      </w:r>
      <w:r>
        <w:rPr>
          <w:rFonts w:hint="eastAsia" w:ascii="Calibri" w:hAnsi="Calibri" w:cs="Calibri"/>
          <w:szCs w:val="21"/>
          <w:highlight w:val="yellow"/>
          <w:shd w:val="clear" w:fill="FF0000"/>
          <w:lang w:val="en-US" w:eastAsia="zh-CN"/>
        </w:rPr>
        <w:t>2</w:t>
      </w:r>
      <w:r>
        <w:rPr>
          <w:rFonts w:hint="eastAsia" w:ascii="Calibri" w:hAnsi="Calibri" w:cs="Calibri"/>
          <w:szCs w:val="21"/>
        </w:rPr>
        <w:t>名，报名截止日期为2018年5月30日。</w:t>
      </w:r>
    </w:p>
    <w:p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1、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波士顿大学简介</w:t>
      </w:r>
    </w:p>
    <w:p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波士顿是美国马萨诸塞州的首府和最大城市，是美国最古老、最有文化价值的城市之一，是美国东北部的高等教育中心以及生物医药产业创新中心。波士顿大学创立于1839年，是历史悠久的全球顶尖私立大学之一。波士顿大学下设17个学位颁发学院，开设学科齐全且在全球拥有极高的学术声誉，其优势学科如管理、金融、传播、生物医学工程等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360" w:lineRule="auto"/>
        <w:ind w:firstLine="42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在201</w:t>
      </w:r>
      <w:r>
        <w:rPr>
          <w:rFonts w:hint="eastAsia" w:asciiTheme="minorHAnsi" w:hAnsiTheme="minorHAnsi" w:eastAsiaTheme="majorEastAsia" w:cstheme="minorHAnsi"/>
          <w:szCs w:val="21"/>
        </w:rPr>
        <w:t>8</w:t>
      </w:r>
      <w:r>
        <w:rPr>
          <w:rFonts w:asciiTheme="minorHAnsi" w:hAnsiTheme="minorHAnsi" w:eastAsiaTheme="majorEastAsia" w:cstheme="minorHAnsi"/>
          <w:szCs w:val="21"/>
        </w:rPr>
        <w:t>年</w:t>
      </w:r>
      <w:r>
        <w:rPr>
          <w:rFonts w:asciiTheme="minorHAnsi" w:hAnsiTheme="minorHAnsi" w:cstheme="minorHAnsi"/>
          <w:kern w:val="0"/>
          <w:szCs w:val="21"/>
        </w:rPr>
        <w:t>《美国新闻与世界报道》发布的</w:t>
      </w:r>
      <w:r>
        <w:rPr>
          <w:rFonts w:hint="eastAsia" w:asciiTheme="minorHAnsi" w:hAnsiTheme="minorHAnsi" w:cstheme="minorHAnsi"/>
          <w:kern w:val="0"/>
          <w:szCs w:val="21"/>
        </w:rPr>
        <w:t>世界</w:t>
      </w:r>
      <w:r>
        <w:rPr>
          <w:rFonts w:asciiTheme="minorHAnsi" w:hAnsiTheme="minorHAnsi" w:cstheme="minorHAnsi"/>
          <w:kern w:val="0"/>
          <w:szCs w:val="21"/>
        </w:rPr>
        <w:t>大学权威排名中，</w:t>
      </w:r>
      <w:r>
        <w:rPr>
          <w:rFonts w:hint="eastAsia" w:asciiTheme="minorHAnsi" w:hAnsiTheme="minorHAnsi" w:eastAsiaTheme="majorEastAsia" w:cstheme="minorHAnsi"/>
          <w:szCs w:val="21"/>
        </w:rPr>
        <w:t>波士顿大学排名</w:t>
      </w:r>
      <w:r>
        <w:rPr>
          <w:rFonts w:asciiTheme="minorHAnsi" w:hAnsiTheme="minorHAnsi" w:eastAsiaTheme="majorEastAsia" w:cstheme="minorHAnsi"/>
          <w:szCs w:val="21"/>
        </w:rPr>
        <w:t>第</w:t>
      </w:r>
      <w:r>
        <w:rPr>
          <w:rFonts w:hint="eastAsia" w:asciiTheme="minorHAnsi" w:hAnsiTheme="minorHAnsi" w:eastAsiaTheme="majorEastAsia" w:cstheme="minorHAnsi"/>
          <w:szCs w:val="21"/>
        </w:rPr>
        <w:t>37位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英国泰晤士时报2018年世界大学排名中，波士顿大学位列第70位。波士顿大学具有无可比拟的优越地理位置，校园位于波士顿市中心，距离哈佛大学、麻省理工大学仅10分钟车程，学术氛围非常浓厚。</w:t>
      </w:r>
    </w:p>
    <w:p>
      <w:pPr>
        <w:spacing w:line="360" w:lineRule="auto"/>
        <w:ind w:firstLine="420"/>
        <w:rPr>
          <w:rFonts w:asciiTheme="minorHAnsi" w:hAnsiTheme="minorHAnsi" w:eastAsiaTheme="majorEastAsia" w:cstheme="minorHAnsi"/>
          <w:szCs w:val="21"/>
        </w:rPr>
      </w:pPr>
    </w:p>
    <w:p>
      <w:pPr>
        <w:spacing w:line="360" w:lineRule="auto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2、</w:t>
      </w:r>
      <w:r>
        <w:rPr>
          <w:rFonts w:asciiTheme="minorHAnsi" w:hAnsiTheme="minorHAnsi" w:eastAsiaTheme="majorEastAsia" w:cstheme="minorHAnsi"/>
          <w:b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szCs w:val="21"/>
        </w:rPr>
        <w:t>时间及专业方向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根据学习目标、英</w:t>
      </w:r>
      <w:r>
        <w:rPr>
          <w:rFonts w:hint="eastAsia" w:asciiTheme="minorHAnsi" w:hAnsiTheme="minorHAnsi" w:eastAsiaTheme="majorEastAsia" w:cstheme="minorHAnsi"/>
          <w:szCs w:val="21"/>
        </w:rPr>
        <w:t>语</w:t>
      </w:r>
      <w:r>
        <w:rPr>
          <w:rFonts w:asciiTheme="minorHAnsi" w:hAnsiTheme="minorHAnsi" w:eastAsiaTheme="majorEastAsia" w:cstheme="minorHAnsi"/>
          <w:szCs w:val="21"/>
        </w:rPr>
        <w:t>水平和专业背景的不同，</w:t>
      </w:r>
      <w:r>
        <w:rPr>
          <w:rFonts w:hint="eastAsia" w:asciiTheme="minorHAnsi" w:hAnsiTheme="minorHAnsi" w:eastAsiaTheme="majorEastAsia" w:cstheme="minorHAnsi"/>
          <w:szCs w:val="21"/>
        </w:rPr>
        <w:t>参加项目的学生可选报两类课程</w:t>
      </w:r>
      <w:r>
        <w:rPr>
          <w:rFonts w:asciiTheme="minorHAnsi" w:hAnsiTheme="minorHAnsi" w:eastAsiaTheme="majorEastAsia" w:cstheme="minorHAnsi"/>
          <w:szCs w:val="21"/>
        </w:rPr>
        <w:t>：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、与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大学专业学分课程</w:t>
      </w:r>
      <w:r>
        <w:rPr>
          <w:rFonts w:hint="eastAsia" w:asciiTheme="minorHAnsi" w:hAnsiTheme="minorHAnsi" w:eastAsiaTheme="majorEastAsia" w:cstheme="minorHAnsi"/>
          <w:szCs w:val="21"/>
        </w:rPr>
        <w:t>。参加项目的学生与波士顿大学在读学生混合编班，由波士顿大学进行统一的学术管理与学术考核，获得波士顿大学正式成绩单及学习证明。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第一种：英语及美国文化课程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访学时间：2018年9月20日</w:t>
      </w:r>
      <w:r>
        <w:rPr>
          <w:rFonts w:asciiTheme="minorHAnsi" w:hAnsiTheme="minorHAnsi" w:eastAsiaTheme="majorEastAsia" w:cstheme="minorHAnsi"/>
          <w:szCs w:val="21"/>
        </w:rPr>
        <w:t>—</w:t>
      </w:r>
      <w:r>
        <w:rPr>
          <w:rFonts w:hint="eastAsia" w:asciiTheme="minorHAnsi" w:hAnsiTheme="minorHAnsi" w:eastAsiaTheme="majorEastAsia" w:cstheme="minorHAnsi"/>
          <w:szCs w:val="21"/>
        </w:rPr>
        <w:t xml:space="preserve"> 12月14日 （根绝2017秋季课程日期预估，以校方实际公布的日期为准）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对于希望通过访学提高英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语</w:t>
      </w:r>
      <w:r>
        <w:rPr>
          <w:rFonts w:asciiTheme="minorHAnsi" w:hAnsiTheme="minorHAnsi" w:eastAsiaTheme="majorEastAsia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hint="eastAsia" w:asciiTheme="minorHAnsi" w:hAnsiTheme="minorHAnsi" w:eastAsiaTheme="majorEastAsia" w:cstheme="minorHAnsi"/>
          <w:szCs w:val="21"/>
        </w:rPr>
        <w:t>可申请</w:t>
      </w:r>
      <w:r>
        <w:rPr>
          <w:rFonts w:asciiTheme="minorHAnsi" w:hAnsiTheme="minorHAnsi" w:eastAsiaTheme="majorEastAsia" w:cstheme="minorHAnsi"/>
          <w:szCs w:val="21"/>
          <w:u w:val="single"/>
        </w:rPr>
        <w:t>英语及美国文化课程</w:t>
      </w:r>
      <w:r>
        <w:rPr>
          <w:rFonts w:asciiTheme="minorHAnsi" w:hAnsiTheme="minorHAnsi" w:eastAsiaTheme="majorEastAsia" w:cstheme="minorHAnsi"/>
          <w:szCs w:val="21"/>
        </w:rPr>
        <w:t>，通过</w:t>
      </w:r>
      <w:r>
        <w:rPr>
          <w:rFonts w:asciiTheme="minorHAnsi" w:hAnsiTheme="minorHAnsi" w:eastAsiaTheme="majorEastAsia" w:cstheme="minorHAnsi"/>
          <w:kern w:val="0"/>
          <w:szCs w:val="21"/>
        </w:rPr>
        <w:t>与来自世界各地的同学一起学习，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快速提高英语应用能力与沟通交流能力。波士顿大学语言中心成立于1975年，40年来积累了丰富英语教学的经验，语言课程均由波士顿大学资深名师授课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开设从A到E的5个级别的语言课程，且分为</w:t>
      </w:r>
      <w:bookmarkStart w:id="2" w:name="OLE_LINK17"/>
      <w:bookmarkStart w:id="3" w:name="OLE_LINK16"/>
      <w:r>
        <w:rPr>
          <w:rFonts w:hint="eastAsia" w:asciiTheme="minorHAnsi" w:hAnsiTheme="minorHAnsi" w:eastAsiaTheme="majorEastAsia" w:cstheme="minorHAnsi"/>
          <w:kern w:val="0"/>
          <w:szCs w:val="21"/>
        </w:rPr>
        <w:t>“学术英语”、“科技英语”、“商务英语”</w:t>
      </w:r>
      <w:bookmarkEnd w:id="2"/>
      <w:bookmarkEnd w:id="3"/>
      <w:r>
        <w:rPr>
          <w:rFonts w:hint="eastAsia" w:asciiTheme="minorHAnsi" w:hAnsiTheme="minorHAnsi" w:eastAsiaTheme="majorEastAsia" w:cstheme="minorHAnsi"/>
          <w:kern w:val="0"/>
          <w:szCs w:val="21"/>
        </w:rPr>
        <w:t>、“美国文化”等不同方向的课程，满足学生的不同需求，帮助他们全方位提高语言使用的能力。由于波士顿所具备的浓厚的文化艺术氛围，更为选修语言课程的学生提供了深入了解美国文化、感受国际大都市文化气息的绝佳机会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  <w:u w:val="single"/>
        </w:rPr>
      </w:pPr>
      <w:r>
        <w:rPr>
          <w:rFonts w:asciiTheme="minorHAnsi" w:hAnsiTheme="minorHAnsi" w:eastAsiaTheme="majorEastAsia" w:cstheme="minorHAnsi"/>
          <w:szCs w:val="21"/>
          <w:u w:val="single"/>
        </w:rPr>
        <w:t>第二种：大学</w:t>
      </w:r>
      <w:r>
        <w:rPr>
          <w:rFonts w:hint="eastAsia" w:asciiTheme="minorHAnsi" w:hAnsiTheme="minorHAnsi" w:eastAsiaTheme="majorEastAsia" w:cstheme="minorHAnsi"/>
          <w:szCs w:val="21"/>
          <w:u w:val="single"/>
        </w:rPr>
        <w:t>专业</w:t>
      </w:r>
      <w:r>
        <w:rPr>
          <w:rFonts w:asciiTheme="minorHAnsi" w:hAnsiTheme="minorHAnsi" w:eastAsiaTheme="majorEastAsia" w:cstheme="minorHAnsi"/>
          <w:szCs w:val="21"/>
          <w:u w:val="single"/>
        </w:rPr>
        <w:t>学分课程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访学时间：2018年9月4日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12月21日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英文</w:t>
      </w:r>
      <w:r>
        <w:rPr>
          <w:rFonts w:hint="eastAsia" w:asciiTheme="minorHAnsi" w:hAnsiTheme="minorHAnsi" w:eastAsiaTheme="majorEastAsia" w:cstheme="minorHAnsi"/>
          <w:szCs w:val="21"/>
        </w:rPr>
        <w:t>标准化考试成绩达到项目要求</w:t>
      </w:r>
      <w:r>
        <w:rPr>
          <w:rFonts w:asciiTheme="minorHAnsi" w:hAnsiTheme="minorHAnsi" w:eastAsiaTheme="majorEastAsia" w:cstheme="minorHAnsi"/>
          <w:szCs w:val="21"/>
        </w:rPr>
        <w:t>并希望提高专业水平的同学，通过</w:t>
      </w:r>
      <w:r>
        <w:rPr>
          <w:rFonts w:hint="eastAsia" w:asciiTheme="minorHAnsi" w:hAnsiTheme="minorHAnsi" w:eastAsiaTheme="majorEastAsia" w:cstheme="minorHAnsi"/>
          <w:szCs w:val="21"/>
        </w:rPr>
        <w:t>本校、全美国际教育协会、以及波士顿大学的共同</w:t>
      </w:r>
      <w:r>
        <w:rPr>
          <w:rFonts w:asciiTheme="minorHAnsi" w:hAnsiTheme="minorHAnsi" w:eastAsiaTheme="majorEastAsia" w:cstheme="minorHAnsi"/>
          <w:szCs w:val="21"/>
        </w:rPr>
        <w:t>选拔后，</w:t>
      </w:r>
      <w:r>
        <w:rPr>
          <w:rFonts w:hint="eastAsia" w:asciiTheme="minorHAnsi" w:hAnsiTheme="minorHAnsi" w:eastAsiaTheme="majorEastAsia" w:cstheme="minorHAnsi"/>
          <w:szCs w:val="21"/>
        </w:rPr>
        <w:t>可以与波士顿大学在校</w:t>
      </w:r>
      <w:r>
        <w:rPr>
          <w:rFonts w:asciiTheme="minorHAnsi" w:hAnsiTheme="minorHAnsi" w:eastAsiaTheme="majorEastAsia" w:cstheme="minorHAnsi"/>
          <w:szCs w:val="21"/>
        </w:rPr>
        <w:t>学生一起学习</w:t>
      </w:r>
      <w:r>
        <w:rPr>
          <w:rFonts w:hint="eastAsia" w:asciiTheme="minorHAnsi" w:hAnsiTheme="minorHAnsi" w:eastAsiaTheme="majorEastAsia" w:cstheme="minorHAnsi"/>
          <w:szCs w:val="21"/>
        </w:rPr>
        <w:t>专业</w:t>
      </w:r>
      <w:r>
        <w:rPr>
          <w:rFonts w:asciiTheme="minorHAnsi" w:hAnsiTheme="minorHAnsi" w:eastAsiaTheme="majorEastAsia" w:cstheme="minorHAnsi"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科项目面向商科、计算机科学及生物技术相关专业的学生，且已经完成本校大一年级的课程；研究生项目仅面向商科与计算机科学相关专业的学生。项目学生将在波士顿大学大都会学院注册、选课、学习。大都会学院是波士顿大学的17所学位颁发学院之一，开设本科和研究生课程，并为在职人士提供在职进修机会。项目学生一学期需选择4门专业课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  <w:u w:val="single"/>
        </w:rPr>
        <w:t>研究生实习项目</w:t>
      </w:r>
      <w:r>
        <w:rPr>
          <w:rFonts w:hint="eastAsia" w:asciiTheme="minorHAnsi" w:hAnsiTheme="minorHAnsi" w:eastAsiaTheme="majorEastAsia" w:cstheme="minorHAnsi"/>
          <w:szCs w:val="21"/>
        </w:rPr>
        <w:t>面向商科、或其他有志于在商务领域发展的在读研究生。项目学生需在波士顿大学学习一学年（两学期）：第一学期（2018年秋季）学习4门专业课，经考核合格获得“研究生证书”；第二学期（2019年春季）为企业实习，由学校统一安排，获取宝贵的在美国机构与企业工作的经验。项目学生经考核合格获得“研究生高级证书”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参加专业学分项目的学生均可免费修读两个健身及文娱活动学分。</w:t>
      </w:r>
      <w:r>
        <w:rPr>
          <w:rFonts w:asciiTheme="minorHAnsi" w:hAnsiTheme="minorHAnsi" w:eastAsiaTheme="majorEastAsia" w:cstheme="minorHAnsi"/>
          <w:szCs w:val="21"/>
        </w:rPr>
        <w:t>顺利完成</w:t>
      </w:r>
      <w:r>
        <w:rPr>
          <w:rFonts w:hint="eastAsia" w:asciiTheme="minorHAnsi" w:hAnsiTheme="minorHAnsi" w:eastAsiaTheme="majorEastAsia" w:cstheme="minorHAnsi"/>
          <w:szCs w:val="21"/>
        </w:rPr>
        <w:t>本科访学或研究生实习项目后，</w:t>
      </w:r>
      <w:r>
        <w:rPr>
          <w:rFonts w:asciiTheme="minorHAnsi" w:hAnsiTheme="minorHAnsi" w:eastAsiaTheme="majorEastAsia" w:cstheme="minorHAnsi"/>
          <w:szCs w:val="21"/>
        </w:rPr>
        <w:t>获得</w:t>
      </w:r>
      <w:r>
        <w:rPr>
          <w:rFonts w:hint="eastAsia" w:asciiTheme="minorHAnsi" w:hAnsiTheme="minorHAnsi" w:eastAsiaTheme="majorEastAsia" w:cstheme="minorHAnsi"/>
          <w:szCs w:val="21"/>
        </w:rPr>
        <w:t>波士顿大学的正式学分和</w:t>
      </w:r>
      <w:r>
        <w:rPr>
          <w:rFonts w:asciiTheme="minorHAnsi" w:hAnsiTheme="minorHAnsi" w:eastAsiaTheme="majorEastAsia" w:cstheme="minorHAnsi"/>
          <w:szCs w:val="21"/>
        </w:rPr>
        <w:t>成绩单，经</w:t>
      </w:r>
      <w:r>
        <w:rPr>
          <w:rFonts w:hint="eastAsia" w:asciiTheme="minorHAnsi" w:hAnsiTheme="minorHAnsi" w:eastAsiaTheme="majorEastAsia" w:cstheme="minorHAnsi"/>
          <w:szCs w:val="21"/>
        </w:rPr>
        <w:t>本校</w:t>
      </w:r>
      <w:r>
        <w:rPr>
          <w:rFonts w:asciiTheme="minorHAnsi" w:hAnsiTheme="minorHAnsi" w:eastAsiaTheme="majorEastAsia" w:cstheme="minorHAnsi"/>
          <w:szCs w:val="21"/>
        </w:rPr>
        <w:t>教务处</w:t>
      </w:r>
      <w:r>
        <w:rPr>
          <w:rFonts w:hint="eastAsia" w:asciiTheme="minorHAnsi" w:hAnsiTheme="minorHAnsi" w:eastAsiaTheme="majorEastAsia" w:cstheme="minorHAnsi"/>
          <w:szCs w:val="21"/>
        </w:rPr>
        <w:t>获院系评估</w:t>
      </w:r>
      <w:r>
        <w:rPr>
          <w:rFonts w:asciiTheme="minorHAnsi" w:hAnsiTheme="minorHAnsi" w:eastAsiaTheme="majorEastAsia" w:cstheme="minorHAnsi"/>
          <w:szCs w:val="21"/>
        </w:rPr>
        <w:t>认可的学分可转为本校学分。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3、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（参照2017年费用标准，最终以波士顿大学公布的2018年数额为准）</w:t>
      </w:r>
    </w:p>
    <w:p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根据不同的课程学习方向，波士顿大学访学项目的费用总额有所差异。学习英语及美国文化课程一个学期的项目费用约1.1万美元（约合人民币7.4万元）。学习大学专业学分课程，波士顿大学大都会学院给予本项目学生60%的学费减免，减免后的本科访学项目费用约为1.2万美元（约合人民币8万元）；研究生实习项目的费用约为2.1万美元（约合人民币13.9万元）。总费用包括学杂费、在读期间医疗保险、及项目设计与管理费，不含住宿费、生活费与机票。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>
      <w:pPr>
        <w:pStyle w:val="1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申请条件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项目名额</w:t>
      </w:r>
    </w:p>
    <w:p>
      <w:pPr>
        <w:spacing w:line="360" w:lineRule="auto"/>
        <w:rPr>
          <w:rFonts w:hint="eastAsia"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依据</w:t>
      </w: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波士顿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大学的访学学生接收能力，2018年秋季选拔专业学分课程和英语语言文化课程学生共</w:t>
      </w:r>
      <w:r>
        <w:rPr>
          <w:rFonts w:hint="eastAsia" w:asciiTheme="minorHAnsi" w:hAnsiTheme="minorHAnsi" w:eastAsiaTheme="majorEastAsia" w:cstheme="minorHAnsi"/>
          <w:kern w:val="0"/>
          <w:szCs w:val="21"/>
          <w:highlight w:val="yellow"/>
          <w:shd w:val="clear" w:fill="FF0000"/>
        </w:rPr>
        <w:t>3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名</w:t>
      </w:r>
      <w:r>
        <w:rPr>
          <w:rFonts w:hint="eastAsia" w:asciiTheme="minorHAnsi" w:hAnsiTheme="minorHAnsi" w:eastAsiaTheme="majorEastAsia" w:cstheme="minorHAnsi"/>
          <w:kern w:val="0"/>
          <w:szCs w:val="21"/>
          <w:lang w:eastAsia="zh-CN"/>
        </w:rPr>
        <w:t>，详情请咨询学校国际处（外事处），并以学校国际处（外事处）最终通知为准。</w:t>
      </w:r>
    </w:p>
    <w:p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2、</w:t>
      </w: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</w:t>
      </w:r>
      <w:r>
        <w:rPr>
          <w:rFonts w:hint="eastAsia" w:asciiTheme="minorHAnsi" w:hAnsiTheme="minorHAnsi" w:eastAsiaTheme="majorEastAsia" w:cstheme="minorHAnsi"/>
          <w:szCs w:val="21"/>
        </w:rPr>
        <w:t>全日制学生，成绩优异、道德品质好，在校期间未受过纪律处分，身心健康，能顺利完成在美学习任务；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年龄：学生开课时需已满18岁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申请要求</w:t>
      </w:r>
    </w:p>
    <w:p>
      <w:pPr>
        <w:pStyle w:val="16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szCs w:val="21"/>
        </w:rPr>
        <w:t>英语及美国文化课程</w:t>
      </w:r>
      <w:r>
        <w:rPr>
          <w:rFonts w:hint="eastAsia" w:asciiTheme="minorHAnsi" w:hAnsiTheme="minorHAnsi" w:eastAsiaTheme="majorEastAsia" w:cstheme="minorHAnsi"/>
          <w:szCs w:val="21"/>
        </w:rPr>
        <w:t>：具有良好的英语基础，入读“学术英语”、“科技英语”、“商务英语”需在分班测试中达到中高级英语水平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本科和研究生均可申请；</w:t>
      </w:r>
    </w:p>
    <w:p>
      <w:pPr>
        <w:pStyle w:val="16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b/>
          <w:szCs w:val="21"/>
        </w:rPr>
        <w:t>专业</w:t>
      </w:r>
      <w:r>
        <w:rPr>
          <w:rFonts w:asciiTheme="minorHAnsi" w:hAnsiTheme="minorHAnsi" w:eastAsiaTheme="majorEastAsia" w:cstheme="minorHAnsi"/>
          <w:b/>
          <w:szCs w:val="21"/>
        </w:rPr>
        <w:t>学分课程</w:t>
      </w:r>
      <w:r>
        <w:rPr>
          <w:rFonts w:hint="eastAsia" w:asciiTheme="minorHAnsi" w:hAnsiTheme="minorHAnsi" w:eastAsiaTheme="majorEastAsia" w:cstheme="minorHAnsi"/>
          <w:szCs w:val="21"/>
        </w:rPr>
        <w:t>（本科访学及研究生实习项目）：</w:t>
      </w:r>
      <w:r>
        <w:rPr>
          <w:rFonts w:asciiTheme="minorHAnsi" w:hAnsiTheme="minorHAnsi" w:eastAsiaTheme="majorEastAsia" w:cstheme="minorHAnsi"/>
          <w:szCs w:val="21"/>
        </w:rPr>
        <w:t>托福</w:t>
      </w:r>
      <w:r>
        <w:rPr>
          <w:rFonts w:hint="eastAsia" w:asciiTheme="minorHAnsi" w:hAnsiTheme="minorHAnsi" w:eastAsiaTheme="majorEastAsia" w:cstheme="minorHAnsi"/>
          <w:szCs w:val="21"/>
        </w:rPr>
        <w:t>84（（阅读21分, 听力18分, 口语23分, 写作 22分）</w:t>
      </w:r>
      <w:r>
        <w:rPr>
          <w:rFonts w:asciiTheme="minorHAnsi" w:hAnsiTheme="minorHAnsi" w:eastAsiaTheme="majorEastAsia" w:cstheme="minorHAnsi"/>
          <w:szCs w:val="21"/>
        </w:rPr>
        <w:t>，</w:t>
      </w:r>
      <w:r>
        <w:rPr>
          <w:rFonts w:hint="eastAsia" w:asciiTheme="minorHAnsi" w:hAnsiTheme="minorHAnsi" w:eastAsiaTheme="majorEastAsia" w:cstheme="minorHAnsi"/>
          <w:szCs w:val="21"/>
        </w:rPr>
        <w:t>或</w:t>
      </w:r>
      <w:r>
        <w:rPr>
          <w:rFonts w:asciiTheme="minorHAnsi" w:hAnsiTheme="minorHAnsi" w:eastAsiaTheme="majorEastAsia" w:cstheme="minorHAnsi"/>
          <w:szCs w:val="21"/>
        </w:rPr>
        <w:t>雅思</w:t>
      </w:r>
      <w:r>
        <w:rPr>
          <w:rFonts w:hint="eastAsia" w:asciiTheme="minorHAnsi" w:hAnsiTheme="minorHAnsi" w:eastAsiaTheme="majorEastAsia" w:cstheme="minorHAnsi"/>
          <w:szCs w:val="21"/>
        </w:rPr>
        <w:t>6</w:t>
      </w:r>
      <w:r>
        <w:rPr>
          <w:rFonts w:asciiTheme="minorHAnsi" w:hAnsiTheme="minorHAnsi" w:eastAsiaTheme="majorEastAsia" w:cstheme="minorHAnsi"/>
          <w:szCs w:val="21"/>
        </w:rPr>
        <w:t>.</w:t>
      </w:r>
      <w:r>
        <w:rPr>
          <w:rFonts w:hint="eastAsia" w:asciiTheme="minorHAnsi" w:hAnsiTheme="minorHAnsi" w:eastAsiaTheme="majorEastAsia" w:cstheme="minorHAnsi"/>
          <w:szCs w:val="21"/>
        </w:rPr>
        <w:t>5（单项不低于6.5），GPA3.0（4分制）</w:t>
      </w:r>
      <w:r>
        <w:rPr>
          <w:rFonts w:asciiTheme="minorHAnsi" w:hAnsiTheme="minorHAnsi" w:eastAsiaTheme="majorEastAsia" w:cstheme="minorHAnsi"/>
          <w:szCs w:val="21"/>
        </w:rPr>
        <w:t>；</w:t>
      </w:r>
      <w:r>
        <w:rPr>
          <w:rFonts w:hint="eastAsia" w:asciiTheme="minorHAnsi" w:hAnsiTheme="minorHAnsi" w:eastAsiaTheme="majorEastAsia" w:cstheme="minorHAnsi"/>
          <w:szCs w:val="21"/>
        </w:rPr>
        <w:t>本科访学只面向大二或大二年级以上学生；研究生实习项目的申请者必须是在读研究生。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6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通过全美国际教育协会的项目面试、波士顿大学的学术审核、以及我校院系及</w:t>
      </w:r>
    </w:p>
    <w:p>
      <w:pPr>
        <w:pStyle w:val="16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国际交流处的派出资格审核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pStyle w:val="16"/>
        <w:spacing w:line="360" w:lineRule="auto"/>
        <w:ind w:left="570" w:firstLine="0" w:firstLineChars="0"/>
        <w:rPr>
          <w:rFonts w:asciiTheme="minorHAnsi" w:hAnsiTheme="minorHAnsi" w:eastAsiaTheme="majorEastAsia" w:cstheme="minorHAnsi"/>
          <w:szCs w:val="21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1、学生</w:t>
      </w:r>
      <w:r>
        <w:rPr>
          <w:rFonts w:asciiTheme="minorHAnsi" w:hAnsiTheme="minorHAnsi" w:eastAsiaTheme="majorEastAsia" w:cstheme="minorHAnsi"/>
          <w:kern w:val="0"/>
          <w:szCs w:val="21"/>
        </w:rPr>
        <w:t>本人提出申请，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在</w:t>
      </w:r>
      <w:r>
        <w:rPr>
          <w:rFonts w:asciiTheme="minorHAnsi" w:hAnsiTheme="minorHAnsi" w:eastAsiaTheme="majorEastAsia" w:cstheme="minorHAnsi"/>
          <w:kern w:val="0"/>
          <w:szCs w:val="21"/>
        </w:rPr>
        <w:t>学校国际合作交流处（外事处）报名；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2、同时登录项目选拔管理机构 -- 全美国际教育协会网站www.usiea.org填写《世界名校访学2018-2019学年项目报名表》，网上报名的时间决定录取的顺序和安排宿舍的顺序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6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hint="eastAsia" w:asciiTheme="minorHAnsi" w:hAnsiTheme="minorHAnsi" w:eastAsiaTheme="majorEastAsia" w:cstheme="minorHAnsi"/>
          <w:szCs w:val="21"/>
        </w:rPr>
        <w:t>学生申请资料经初步审核后，参加面试确定预录取名单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>
      <w:pPr>
        <w:pStyle w:val="16"/>
        <w:numPr>
          <w:ilvl w:val="0"/>
          <w:numId w:val="4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学生提交正式申请材料并缴纳项目费用，获得学校录取及签证后赴美学习</w:t>
      </w:r>
      <w:r>
        <w:rPr>
          <w:rFonts w:hint="eastAsia" w:ascii="Calibri" w:hAnsi="Calibri" w:cs="Calibri"/>
          <w:sz w:val="22"/>
        </w:rPr>
        <w:t>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="Calibri" w:hAnsi="Calibri" w:cs="Calibri"/>
          <w:sz w:val="22"/>
        </w:rPr>
        <w:t>项目申请截止日期：</w:t>
      </w:r>
      <w:r>
        <w:rPr>
          <w:rFonts w:hint="eastAsia" w:ascii="Calibri" w:hAnsi="Calibri" w:cs="Calibri"/>
          <w:sz w:val="22"/>
        </w:rPr>
        <w:t>2018年5月30日。</w:t>
      </w:r>
    </w:p>
    <w:p>
      <w:pPr>
        <w:spacing w:line="360" w:lineRule="auto"/>
        <w:ind w:left="36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pStyle w:val="1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项目管理</w:t>
      </w:r>
    </w:p>
    <w:p>
      <w:pPr>
        <w:spacing w:line="360" w:lineRule="auto"/>
        <w:ind w:firstLine="440" w:firstLineChars="200"/>
        <w:rPr>
          <w:rFonts w:ascii="宋体" w:hAnsi="宋体" w:cs="宋体"/>
          <w:b/>
          <w:bCs/>
          <w:kern w:val="0"/>
          <w:sz w:val="22"/>
        </w:rPr>
      </w:pPr>
      <w:bookmarkStart w:id="4" w:name="_GoBack"/>
      <w:bookmarkEnd w:id="4"/>
      <w:r>
        <w:rPr>
          <w:rFonts w:ascii="宋体" w:hAnsi="宋体" w:cs="宋体"/>
          <w:kern w:val="0"/>
          <w:sz w:val="22"/>
        </w:rPr>
        <w:t>本项目由</w:t>
      </w:r>
      <w:r>
        <w:rPr>
          <w:rFonts w:hint="eastAsia" w:ascii="宋体" w:hAnsi="宋体" w:cs="宋体"/>
          <w:kern w:val="0"/>
          <w:sz w:val="22"/>
        </w:rPr>
        <w:t>我校</w:t>
      </w:r>
      <w:r>
        <w:rPr>
          <w:rFonts w:ascii="宋体" w:hAnsi="宋体" w:cs="宋体"/>
          <w:kern w:val="0"/>
          <w:sz w:val="22"/>
        </w:rPr>
        <w:t>国际交流处负责对外联系</w:t>
      </w:r>
      <w:r>
        <w:rPr>
          <w:rFonts w:hint="eastAsia" w:ascii="宋体" w:hAnsi="宋体" w:cs="宋体"/>
          <w:kern w:val="0"/>
          <w:sz w:val="22"/>
        </w:rPr>
        <w:t>、派出管理等相关工作</w:t>
      </w:r>
      <w:r>
        <w:rPr>
          <w:rFonts w:ascii="宋体" w:hAnsi="宋体" w:cs="宋体"/>
          <w:kern w:val="0"/>
          <w:sz w:val="22"/>
        </w:rPr>
        <w:t>。国际</w:t>
      </w:r>
      <w:r>
        <w:rPr>
          <w:rFonts w:hint="eastAsia" w:ascii="宋体" w:hAnsi="宋体" w:cs="宋体"/>
          <w:kern w:val="0"/>
          <w:sz w:val="22"/>
        </w:rPr>
        <w:t>合作</w:t>
      </w:r>
      <w:r>
        <w:rPr>
          <w:rFonts w:ascii="宋体" w:hAnsi="宋体" w:cs="宋体"/>
          <w:kern w:val="0"/>
          <w:sz w:val="22"/>
        </w:rPr>
        <w:t>交流处</w:t>
      </w:r>
      <w:r>
        <w:rPr>
          <w:rFonts w:hint="eastAsia" w:ascii="宋体" w:hAnsi="宋体" w:cs="宋体"/>
          <w:kern w:val="0"/>
          <w:sz w:val="22"/>
        </w:rPr>
        <w:t>、教务处、学院共同</w:t>
      </w:r>
      <w:r>
        <w:rPr>
          <w:rFonts w:ascii="宋体" w:hAnsi="宋体" w:cs="宋体"/>
          <w:kern w:val="0"/>
          <w:sz w:val="22"/>
        </w:rPr>
        <w:t>选拔</w:t>
      </w:r>
      <w:r>
        <w:rPr>
          <w:rFonts w:hint="eastAsia" w:ascii="宋体" w:hAnsi="宋体" w:cs="宋体"/>
          <w:kern w:val="0"/>
          <w:sz w:val="22"/>
        </w:rPr>
        <w:t>派出学生。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宋体" w:hAnsi="宋体" w:cs="宋体"/>
          <w:bCs/>
          <w:kern w:val="0"/>
          <w:sz w:val="22"/>
        </w:rPr>
        <w:t>咨询电话：</w:t>
      </w:r>
      <w:r>
        <w:rPr>
          <w:rFonts w:ascii="宋体" w:hAnsi="宋体" w:cs="宋体"/>
          <w:kern w:val="0"/>
          <w:sz w:val="22"/>
        </w:rPr>
        <w:t>国际交流</w:t>
      </w:r>
      <w:r>
        <w:rPr>
          <w:rFonts w:hint="eastAsia" w:ascii="宋体" w:hAnsi="宋体" w:cs="宋体"/>
          <w:kern w:val="0"/>
          <w:sz w:val="22"/>
        </w:rPr>
        <w:t>与合作</w:t>
      </w:r>
      <w:r>
        <w:rPr>
          <w:rFonts w:ascii="宋体" w:hAnsi="宋体" w:cs="宋体"/>
          <w:kern w:val="0"/>
          <w:sz w:val="22"/>
        </w:rPr>
        <w:t>处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028-85966899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全美国际教育协会咨询电话: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18988936428 李老师</w:t>
      </w:r>
      <w:r>
        <w:rPr>
          <w:rFonts w:ascii="Calibri" w:hAnsi="Calibri" w:cs="Calibri"/>
          <w:kern w:val="0"/>
          <w:sz w:val="22"/>
        </w:rPr>
        <w:t>（周一至周五 9:00—18:00）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  <w:highlight w:val="none"/>
        </w:rPr>
      </w:pPr>
      <w:r>
        <w:rPr>
          <w:rFonts w:ascii="Calibri" w:hAnsi="Calibri" w:cs="Calibri"/>
          <w:kern w:val="0"/>
          <w:sz w:val="22"/>
          <w:highlight w:val="none"/>
        </w:rPr>
        <w:t>全美国际教育协会官网：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"http://www.usiea.org" </w:instrText>
      </w:r>
      <w:r>
        <w:rPr>
          <w:highlight w:val="none"/>
        </w:rPr>
        <w:fldChar w:fldCharType="separate"/>
      </w:r>
      <w:r>
        <w:rPr>
          <w:rFonts w:ascii="Calibri" w:hAnsi="Calibri" w:cs="Calibri"/>
          <w:color w:val="0068B7"/>
          <w:kern w:val="0"/>
          <w:sz w:val="22"/>
          <w:highlight w:val="none"/>
        </w:rPr>
        <w:t>www.usiea.org</w:t>
      </w:r>
      <w:r>
        <w:rPr>
          <w:rFonts w:ascii="Calibri" w:hAnsi="Calibri" w:cs="Calibri"/>
          <w:color w:val="0068B7"/>
          <w:kern w:val="0"/>
          <w:sz w:val="22"/>
          <w:highlight w:val="none"/>
        </w:rPr>
        <w:fldChar w:fldCharType="end"/>
      </w:r>
      <w:r>
        <w:rPr>
          <w:rFonts w:ascii="Calibri" w:hAnsi="Calibri" w:cs="Calibri"/>
          <w:kern w:val="0"/>
          <w:sz w:val="22"/>
          <w:highlight w:val="none"/>
        </w:rPr>
        <w:t xml:space="preserve"> 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r>
        <w:fldChar w:fldCharType="begin"/>
      </w:r>
      <w:r>
        <w:instrText xml:space="preserve"> HYPERLINK "mailto:visitbu@yeah.net" </w:instrText>
      </w:r>
      <w:r>
        <w:fldChar w:fldCharType="separate"/>
      </w:r>
      <w:r>
        <w:rPr>
          <w:rStyle w:val="10"/>
          <w:rFonts w:ascii="Calibri" w:hAnsi="Calibri" w:cs="Calibri"/>
          <w:kern w:val="0"/>
          <w:sz w:val="22"/>
        </w:rPr>
        <w:t>visi</w:t>
      </w:r>
      <w:r>
        <w:rPr>
          <w:rStyle w:val="10"/>
          <w:rFonts w:hint="eastAsia" w:ascii="Calibri" w:hAnsi="Calibri" w:cs="Calibri"/>
          <w:kern w:val="0"/>
          <w:sz w:val="22"/>
        </w:rPr>
        <w:t>tbu</w:t>
      </w:r>
      <w:r>
        <w:rPr>
          <w:rStyle w:val="10"/>
          <w:rFonts w:ascii="Calibri" w:hAnsi="Calibri" w:cs="Calibri"/>
          <w:kern w:val="0"/>
          <w:sz w:val="22"/>
        </w:rPr>
        <w:t>@yeah.net</w:t>
      </w:r>
      <w:r>
        <w:rPr>
          <w:rStyle w:val="10"/>
          <w:rFonts w:ascii="Calibri" w:hAnsi="Calibri" w:cs="Calibri"/>
          <w:kern w:val="0"/>
          <w:sz w:val="22"/>
        </w:rPr>
        <w:fldChar w:fldCharType="end"/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DC745D2"/>
    <w:multiLevelType w:val="multilevel"/>
    <w:tmpl w:val="6DC745D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013D8"/>
    <w:multiLevelType w:val="multilevel"/>
    <w:tmpl w:val="77F013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04196"/>
    <w:multiLevelType w:val="multilevel"/>
    <w:tmpl w:val="7A80419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A8F"/>
    <w:rsid w:val="00003063"/>
    <w:rsid w:val="000035D7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3889"/>
    <w:rsid w:val="000362BD"/>
    <w:rsid w:val="000402B0"/>
    <w:rsid w:val="00041148"/>
    <w:rsid w:val="00041BDA"/>
    <w:rsid w:val="00046229"/>
    <w:rsid w:val="000519A2"/>
    <w:rsid w:val="0005389A"/>
    <w:rsid w:val="0006181E"/>
    <w:rsid w:val="00061F58"/>
    <w:rsid w:val="0006376C"/>
    <w:rsid w:val="00065242"/>
    <w:rsid w:val="000820F9"/>
    <w:rsid w:val="0009206E"/>
    <w:rsid w:val="000954F4"/>
    <w:rsid w:val="000A0A86"/>
    <w:rsid w:val="000A1602"/>
    <w:rsid w:val="000A2A22"/>
    <w:rsid w:val="000A4030"/>
    <w:rsid w:val="000A5251"/>
    <w:rsid w:val="000B1A29"/>
    <w:rsid w:val="000B7A47"/>
    <w:rsid w:val="000C2F7C"/>
    <w:rsid w:val="000C3F5B"/>
    <w:rsid w:val="000C4E56"/>
    <w:rsid w:val="000C5C18"/>
    <w:rsid w:val="000C7F9A"/>
    <w:rsid w:val="000D48D3"/>
    <w:rsid w:val="000E1209"/>
    <w:rsid w:val="000E71FC"/>
    <w:rsid w:val="000F168E"/>
    <w:rsid w:val="000F60E8"/>
    <w:rsid w:val="000F6E7C"/>
    <w:rsid w:val="001013E1"/>
    <w:rsid w:val="0010196F"/>
    <w:rsid w:val="001021FF"/>
    <w:rsid w:val="001051AF"/>
    <w:rsid w:val="00106BA3"/>
    <w:rsid w:val="00110B1F"/>
    <w:rsid w:val="00110EDA"/>
    <w:rsid w:val="00111F89"/>
    <w:rsid w:val="0011231F"/>
    <w:rsid w:val="00112EFC"/>
    <w:rsid w:val="001131EA"/>
    <w:rsid w:val="00116EF3"/>
    <w:rsid w:val="00120174"/>
    <w:rsid w:val="00120A5E"/>
    <w:rsid w:val="0012340B"/>
    <w:rsid w:val="0012488E"/>
    <w:rsid w:val="00124B0D"/>
    <w:rsid w:val="00125024"/>
    <w:rsid w:val="00127FE8"/>
    <w:rsid w:val="00131D30"/>
    <w:rsid w:val="00134011"/>
    <w:rsid w:val="00134DA3"/>
    <w:rsid w:val="00135F93"/>
    <w:rsid w:val="00137744"/>
    <w:rsid w:val="00143294"/>
    <w:rsid w:val="00146AB9"/>
    <w:rsid w:val="00152745"/>
    <w:rsid w:val="00167799"/>
    <w:rsid w:val="00167814"/>
    <w:rsid w:val="00170451"/>
    <w:rsid w:val="001738F0"/>
    <w:rsid w:val="00175FC4"/>
    <w:rsid w:val="00176F21"/>
    <w:rsid w:val="00182E04"/>
    <w:rsid w:val="001834A2"/>
    <w:rsid w:val="00186190"/>
    <w:rsid w:val="00192C0F"/>
    <w:rsid w:val="001A0C7A"/>
    <w:rsid w:val="001A281F"/>
    <w:rsid w:val="001A3A4F"/>
    <w:rsid w:val="001A4A68"/>
    <w:rsid w:val="001A7D56"/>
    <w:rsid w:val="001B1730"/>
    <w:rsid w:val="001C1A51"/>
    <w:rsid w:val="001C6985"/>
    <w:rsid w:val="001D4042"/>
    <w:rsid w:val="001D458C"/>
    <w:rsid w:val="001D4EF4"/>
    <w:rsid w:val="001D7EED"/>
    <w:rsid w:val="001E31D7"/>
    <w:rsid w:val="001E5D98"/>
    <w:rsid w:val="001F5524"/>
    <w:rsid w:val="00201416"/>
    <w:rsid w:val="00201963"/>
    <w:rsid w:val="00202030"/>
    <w:rsid w:val="00203BFF"/>
    <w:rsid w:val="002070AB"/>
    <w:rsid w:val="002133F2"/>
    <w:rsid w:val="0021711E"/>
    <w:rsid w:val="00220E2D"/>
    <w:rsid w:val="002211FB"/>
    <w:rsid w:val="0022214B"/>
    <w:rsid w:val="002274D9"/>
    <w:rsid w:val="00232DDA"/>
    <w:rsid w:val="002441C6"/>
    <w:rsid w:val="002449A1"/>
    <w:rsid w:val="002465B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059"/>
    <w:rsid w:val="002C722D"/>
    <w:rsid w:val="002D015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717"/>
    <w:rsid w:val="00321D5F"/>
    <w:rsid w:val="00332005"/>
    <w:rsid w:val="00333C15"/>
    <w:rsid w:val="00334302"/>
    <w:rsid w:val="00342D9D"/>
    <w:rsid w:val="00342E7E"/>
    <w:rsid w:val="0034402D"/>
    <w:rsid w:val="00364A0C"/>
    <w:rsid w:val="003738EA"/>
    <w:rsid w:val="00374996"/>
    <w:rsid w:val="00375491"/>
    <w:rsid w:val="003822A8"/>
    <w:rsid w:val="00383DCC"/>
    <w:rsid w:val="00386A4E"/>
    <w:rsid w:val="00386C51"/>
    <w:rsid w:val="00387362"/>
    <w:rsid w:val="00390584"/>
    <w:rsid w:val="00390FCA"/>
    <w:rsid w:val="00394A95"/>
    <w:rsid w:val="00396306"/>
    <w:rsid w:val="00397742"/>
    <w:rsid w:val="003A1709"/>
    <w:rsid w:val="003A6BB9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D7ABA"/>
    <w:rsid w:val="003E01B3"/>
    <w:rsid w:val="003E3199"/>
    <w:rsid w:val="003F050A"/>
    <w:rsid w:val="003F059B"/>
    <w:rsid w:val="003F50D1"/>
    <w:rsid w:val="003F5F88"/>
    <w:rsid w:val="00411B05"/>
    <w:rsid w:val="0041273F"/>
    <w:rsid w:val="00413905"/>
    <w:rsid w:val="00426325"/>
    <w:rsid w:val="004321B8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A1B41"/>
    <w:rsid w:val="004A51A8"/>
    <w:rsid w:val="004B4D89"/>
    <w:rsid w:val="004B516E"/>
    <w:rsid w:val="004C0E26"/>
    <w:rsid w:val="004C343D"/>
    <w:rsid w:val="004C5277"/>
    <w:rsid w:val="004C6632"/>
    <w:rsid w:val="004D2423"/>
    <w:rsid w:val="004D3884"/>
    <w:rsid w:val="004D531B"/>
    <w:rsid w:val="004D5BBA"/>
    <w:rsid w:val="004E0748"/>
    <w:rsid w:val="004E728E"/>
    <w:rsid w:val="004F0AAB"/>
    <w:rsid w:val="004F743F"/>
    <w:rsid w:val="004F7C1B"/>
    <w:rsid w:val="00500A8F"/>
    <w:rsid w:val="005043E9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7138A"/>
    <w:rsid w:val="00572B6E"/>
    <w:rsid w:val="005762B0"/>
    <w:rsid w:val="00584716"/>
    <w:rsid w:val="005849E3"/>
    <w:rsid w:val="00584E4F"/>
    <w:rsid w:val="00584E6C"/>
    <w:rsid w:val="005868F6"/>
    <w:rsid w:val="00586D6C"/>
    <w:rsid w:val="00587D18"/>
    <w:rsid w:val="00591182"/>
    <w:rsid w:val="00596D1A"/>
    <w:rsid w:val="00597204"/>
    <w:rsid w:val="005A31F5"/>
    <w:rsid w:val="005A35D4"/>
    <w:rsid w:val="005A65C8"/>
    <w:rsid w:val="005B69C2"/>
    <w:rsid w:val="005C27A1"/>
    <w:rsid w:val="005C7CC0"/>
    <w:rsid w:val="005D0683"/>
    <w:rsid w:val="005D6F09"/>
    <w:rsid w:val="005E5A41"/>
    <w:rsid w:val="005E674A"/>
    <w:rsid w:val="005E6E17"/>
    <w:rsid w:val="005F4757"/>
    <w:rsid w:val="005F6112"/>
    <w:rsid w:val="00606AA2"/>
    <w:rsid w:val="00606C4F"/>
    <w:rsid w:val="00611164"/>
    <w:rsid w:val="00617A76"/>
    <w:rsid w:val="00621ED0"/>
    <w:rsid w:val="00622238"/>
    <w:rsid w:val="006225D7"/>
    <w:rsid w:val="00624BB2"/>
    <w:rsid w:val="00631033"/>
    <w:rsid w:val="00632329"/>
    <w:rsid w:val="00636A3C"/>
    <w:rsid w:val="00637AD1"/>
    <w:rsid w:val="0064140F"/>
    <w:rsid w:val="006452B3"/>
    <w:rsid w:val="0066295A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361E"/>
    <w:rsid w:val="00696B1C"/>
    <w:rsid w:val="006A125E"/>
    <w:rsid w:val="006A2B5F"/>
    <w:rsid w:val="006A32C4"/>
    <w:rsid w:val="006A72B8"/>
    <w:rsid w:val="006B576E"/>
    <w:rsid w:val="006C1F05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423FD"/>
    <w:rsid w:val="00757289"/>
    <w:rsid w:val="00760C7A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877F5"/>
    <w:rsid w:val="007A01B4"/>
    <w:rsid w:val="007A03BE"/>
    <w:rsid w:val="007A07E5"/>
    <w:rsid w:val="007A385D"/>
    <w:rsid w:val="007A3E79"/>
    <w:rsid w:val="007A7362"/>
    <w:rsid w:val="007B5A17"/>
    <w:rsid w:val="007B7729"/>
    <w:rsid w:val="007C2FAE"/>
    <w:rsid w:val="007C3ABB"/>
    <w:rsid w:val="007C66DE"/>
    <w:rsid w:val="007D0768"/>
    <w:rsid w:val="007D224F"/>
    <w:rsid w:val="007E0C8A"/>
    <w:rsid w:val="007E3816"/>
    <w:rsid w:val="007F5700"/>
    <w:rsid w:val="007F7B59"/>
    <w:rsid w:val="00801862"/>
    <w:rsid w:val="00802548"/>
    <w:rsid w:val="00802957"/>
    <w:rsid w:val="00814AA6"/>
    <w:rsid w:val="008267EE"/>
    <w:rsid w:val="0083050D"/>
    <w:rsid w:val="00832E9B"/>
    <w:rsid w:val="0083528E"/>
    <w:rsid w:val="008432ED"/>
    <w:rsid w:val="00843F7D"/>
    <w:rsid w:val="008450F3"/>
    <w:rsid w:val="0086227D"/>
    <w:rsid w:val="00863FEE"/>
    <w:rsid w:val="008653E0"/>
    <w:rsid w:val="00881CA9"/>
    <w:rsid w:val="0088500C"/>
    <w:rsid w:val="0089014A"/>
    <w:rsid w:val="008902CF"/>
    <w:rsid w:val="008966E9"/>
    <w:rsid w:val="008B4A3B"/>
    <w:rsid w:val="008B56E5"/>
    <w:rsid w:val="008C1F77"/>
    <w:rsid w:val="008D35D8"/>
    <w:rsid w:val="008D3CFE"/>
    <w:rsid w:val="008D4A48"/>
    <w:rsid w:val="008D5E6C"/>
    <w:rsid w:val="008D7F16"/>
    <w:rsid w:val="008E4534"/>
    <w:rsid w:val="008E54DB"/>
    <w:rsid w:val="008F1045"/>
    <w:rsid w:val="009018E4"/>
    <w:rsid w:val="00903BED"/>
    <w:rsid w:val="009044D4"/>
    <w:rsid w:val="00905613"/>
    <w:rsid w:val="00905BF1"/>
    <w:rsid w:val="00913572"/>
    <w:rsid w:val="00915CD8"/>
    <w:rsid w:val="009171E7"/>
    <w:rsid w:val="00917A3B"/>
    <w:rsid w:val="0092087F"/>
    <w:rsid w:val="00920A59"/>
    <w:rsid w:val="0092377F"/>
    <w:rsid w:val="00930DF7"/>
    <w:rsid w:val="00936821"/>
    <w:rsid w:val="0094276A"/>
    <w:rsid w:val="00942C75"/>
    <w:rsid w:val="00947B9D"/>
    <w:rsid w:val="00951195"/>
    <w:rsid w:val="00952045"/>
    <w:rsid w:val="00952BA5"/>
    <w:rsid w:val="009554FB"/>
    <w:rsid w:val="00957EEC"/>
    <w:rsid w:val="00963696"/>
    <w:rsid w:val="009638EE"/>
    <w:rsid w:val="009642E6"/>
    <w:rsid w:val="009645E2"/>
    <w:rsid w:val="00965CCC"/>
    <w:rsid w:val="00972BCD"/>
    <w:rsid w:val="0097304E"/>
    <w:rsid w:val="009735D1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698C"/>
    <w:rsid w:val="009C7A2D"/>
    <w:rsid w:val="009C7CE4"/>
    <w:rsid w:val="009E4A3B"/>
    <w:rsid w:val="009F0653"/>
    <w:rsid w:val="009F1348"/>
    <w:rsid w:val="009F7FCB"/>
    <w:rsid w:val="00A00B17"/>
    <w:rsid w:val="00A1042E"/>
    <w:rsid w:val="00A17586"/>
    <w:rsid w:val="00A1794D"/>
    <w:rsid w:val="00A207E1"/>
    <w:rsid w:val="00A220C6"/>
    <w:rsid w:val="00A2358C"/>
    <w:rsid w:val="00A2663A"/>
    <w:rsid w:val="00A31C85"/>
    <w:rsid w:val="00A32C2E"/>
    <w:rsid w:val="00A33A9E"/>
    <w:rsid w:val="00A45793"/>
    <w:rsid w:val="00A464F2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C32C6"/>
    <w:rsid w:val="00AC6D01"/>
    <w:rsid w:val="00AD7BA1"/>
    <w:rsid w:val="00AF5247"/>
    <w:rsid w:val="00AF78C6"/>
    <w:rsid w:val="00AF7CB4"/>
    <w:rsid w:val="00B00961"/>
    <w:rsid w:val="00B048FC"/>
    <w:rsid w:val="00B12237"/>
    <w:rsid w:val="00B12F3C"/>
    <w:rsid w:val="00B24FF7"/>
    <w:rsid w:val="00B2543C"/>
    <w:rsid w:val="00B26192"/>
    <w:rsid w:val="00B26231"/>
    <w:rsid w:val="00B262CD"/>
    <w:rsid w:val="00B40A66"/>
    <w:rsid w:val="00B50CF4"/>
    <w:rsid w:val="00B57B39"/>
    <w:rsid w:val="00B6632A"/>
    <w:rsid w:val="00B67C18"/>
    <w:rsid w:val="00B74F9C"/>
    <w:rsid w:val="00B801E0"/>
    <w:rsid w:val="00B81EAA"/>
    <w:rsid w:val="00B83422"/>
    <w:rsid w:val="00B841C1"/>
    <w:rsid w:val="00B8765A"/>
    <w:rsid w:val="00B955B3"/>
    <w:rsid w:val="00BA15F6"/>
    <w:rsid w:val="00BA58EA"/>
    <w:rsid w:val="00BA7830"/>
    <w:rsid w:val="00BB0CAA"/>
    <w:rsid w:val="00BB11A8"/>
    <w:rsid w:val="00BB2026"/>
    <w:rsid w:val="00BC3B43"/>
    <w:rsid w:val="00BC5535"/>
    <w:rsid w:val="00BD66A7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42EE"/>
    <w:rsid w:val="00CA51C2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0D3A"/>
    <w:rsid w:val="00CE33AA"/>
    <w:rsid w:val="00CE4335"/>
    <w:rsid w:val="00D03331"/>
    <w:rsid w:val="00D073EA"/>
    <w:rsid w:val="00D12776"/>
    <w:rsid w:val="00D2092D"/>
    <w:rsid w:val="00D215C2"/>
    <w:rsid w:val="00D31AFE"/>
    <w:rsid w:val="00D332D6"/>
    <w:rsid w:val="00D346FC"/>
    <w:rsid w:val="00D35444"/>
    <w:rsid w:val="00D3691D"/>
    <w:rsid w:val="00D371C4"/>
    <w:rsid w:val="00D43500"/>
    <w:rsid w:val="00D46332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B616E"/>
    <w:rsid w:val="00DC2F1C"/>
    <w:rsid w:val="00DC2F84"/>
    <w:rsid w:val="00DC4BA2"/>
    <w:rsid w:val="00DD2850"/>
    <w:rsid w:val="00DD4C8D"/>
    <w:rsid w:val="00DD7FB4"/>
    <w:rsid w:val="00DF1C7E"/>
    <w:rsid w:val="00DF273C"/>
    <w:rsid w:val="00DF4AB0"/>
    <w:rsid w:val="00DF66EE"/>
    <w:rsid w:val="00E00371"/>
    <w:rsid w:val="00E04774"/>
    <w:rsid w:val="00E07A31"/>
    <w:rsid w:val="00E10F52"/>
    <w:rsid w:val="00E145E1"/>
    <w:rsid w:val="00E168DE"/>
    <w:rsid w:val="00E17346"/>
    <w:rsid w:val="00E21D24"/>
    <w:rsid w:val="00E23047"/>
    <w:rsid w:val="00E23270"/>
    <w:rsid w:val="00E309FD"/>
    <w:rsid w:val="00E403D4"/>
    <w:rsid w:val="00E50150"/>
    <w:rsid w:val="00E5049F"/>
    <w:rsid w:val="00E5459C"/>
    <w:rsid w:val="00E61308"/>
    <w:rsid w:val="00E61E70"/>
    <w:rsid w:val="00E64653"/>
    <w:rsid w:val="00E6760C"/>
    <w:rsid w:val="00E67E38"/>
    <w:rsid w:val="00E719FB"/>
    <w:rsid w:val="00E76995"/>
    <w:rsid w:val="00E80E43"/>
    <w:rsid w:val="00E8311C"/>
    <w:rsid w:val="00E87A04"/>
    <w:rsid w:val="00E922B4"/>
    <w:rsid w:val="00E94534"/>
    <w:rsid w:val="00E962B9"/>
    <w:rsid w:val="00E97970"/>
    <w:rsid w:val="00EA4003"/>
    <w:rsid w:val="00EB0151"/>
    <w:rsid w:val="00EB7ED2"/>
    <w:rsid w:val="00EC43C8"/>
    <w:rsid w:val="00EC6009"/>
    <w:rsid w:val="00ED1806"/>
    <w:rsid w:val="00ED3F02"/>
    <w:rsid w:val="00ED457C"/>
    <w:rsid w:val="00EE0B92"/>
    <w:rsid w:val="00EE0F0E"/>
    <w:rsid w:val="00EE68D2"/>
    <w:rsid w:val="00EF14B7"/>
    <w:rsid w:val="00EF251B"/>
    <w:rsid w:val="00EF44AD"/>
    <w:rsid w:val="00F014F8"/>
    <w:rsid w:val="00F13937"/>
    <w:rsid w:val="00F158DE"/>
    <w:rsid w:val="00F17267"/>
    <w:rsid w:val="00F27587"/>
    <w:rsid w:val="00F307F9"/>
    <w:rsid w:val="00F3131F"/>
    <w:rsid w:val="00F32538"/>
    <w:rsid w:val="00F34A00"/>
    <w:rsid w:val="00F34D93"/>
    <w:rsid w:val="00F43F7E"/>
    <w:rsid w:val="00F62AEB"/>
    <w:rsid w:val="00F65ADF"/>
    <w:rsid w:val="00F66A6D"/>
    <w:rsid w:val="00F72010"/>
    <w:rsid w:val="00F76428"/>
    <w:rsid w:val="00F77798"/>
    <w:rsid w:val="00F77B4D"/>
    <w:rsid w:val="00F820F7"/>
    <w:rsid w:val="00F83A44"/>
    <w:rsid w:val="00F85B9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106"/>
    <w:rsid w:val="00FD08A0"/>
    <w:rsid w:val="00FD2E42"/>
    <w:rsid w:val="00FD4AA6"/>
    <w:rsid w:val="00FE036A"/>
    <w:rsid w:val="00FE2B9E"/>
    <w:rsid w:val="00FE6123"/>
    <w:rsid w:val="00FE6555"/>
    <w:rsid w:val="00FF51E1"/>
    <w:rsid w:val="02993B87"/>
    <w:rsid w:val="06426CDC"/>
    <w:rsid w:val="14D1600A"/>
    <w:rsid w:val="3D8A1F8C"/>
    <w:rsid w:val="4C250FB4"/>
    <w:rsid w:val="4E4D6368"/>
    <w:rsid w:val="60FA10CD"/>
    <w:rsid w:val="6FE05DE1"/>
    <w:rsid w:val="755F7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68B7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141"/>
    <w:qFormat/>
    <w:uiPriority w:val="0"/>
    <w:rPr>
      <w:sz w:val="21"/>
      <w:szCs w:val="21"/>
    </w:rPr>
  </w:style>
  <w:style w:type="character" w:customStyle="1" w:styleId="14">
    <w:name w:val="ztag pre"/>
    <w:basedOn w:val="8"/>
    <w:qFormat/>
    <w:uiPriority w:val="0"/>
  </w:style>
  <w:style w:type="character" w:customStyle="1" w:styleId="15">
    <w:name w:val="已访问的超链接1"/>
    <w:qFormat/>
    <w:uiPriority w:val="0"/>
    <w:rPr>
      <w:color w:val="800080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410</Words>
  <Characters>2339</Characters>
  <Lines>19</Lines>
  <Paragraphs>5</Paragraphs>
  <ScaleCrop>false</ScaleCrop>
  <LinksUpToDate>false</LinksUpToDate>
  <CharactersWithSpaces>2744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2016-12-16T02:41:00Z</dcterms:created>
  <dc:creator>全美国际教育协会</dc:creator>
  <cp:lastModifiedBy>USIEA-Crystal</cp:lastModifiedBy>
  <cp:lastPrinted>2011-12-16T08:54:00Z</cp:lastPrinted>
  <dcterms:modified xsi:type="dcterms:W3CDTF">2018-01-25T02:49:38Z</dcterms:modified>
  <dc:title>加州大学河滨分校短期访学项目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